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4215"/>
        <w:gridCol w:w="3000"/>
        <w:tblGridChange w:id="0">
          <w:tblGrid>
            <w:gridCol w:w="1785"/>
            <w:gridCol w:w="4215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תאור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רפפות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אלומיניום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קבועות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להצללה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חיצונית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חברת</w:t>
            </w:r>
            <w:r w:rsidDel="00000000" w:rsidR="00000000" w:rsidRPr="00000000">
              <w:rPr>
                <w:b w:val="1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rtl w:val="1"/>
              </w:rPr>
              <w:t xml:space="preserve">יוני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קיט</w:t>
            </w:r>
            <w:r w:rsidDel="00000000" w:rsidR="00000000" w:rsidRPr="00000000">
              <w:rPr>
                <w:b w:val="1"/>
                <w:rtl w:val="1"/>
              </w:rPr>
              <w:t xml:space="preserve">".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הצללה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בפרופיל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כנף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מטוס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מילימטר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במנך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אופקי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אנכי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תושבות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המאפשרות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כיוון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זווית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מקובע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במגוון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תצורות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אופן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עיגון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המערכת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והמכלול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כולו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יובא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לאישור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קונסטרוקטור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ואדריכלית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טרם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הזמנה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וייצור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771650" cy="13970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